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8D" w:rsidRPr="005F342E" w:rsidRDefault="00A3278D" w:rsidP="00A3278D">
      <w:pPr>
        <w:keepNext/>
        <w:keepLines/>
        <w:rPr>
          <w:sz w:val="28"/>
          <w:szCs w:val="28"/>
        </w:rPr>
      </w:pPr>
    </w:p>
    <w:p w:rsidR="00A3278D" w:rsidRPr="00B3629D" w:rsidRDefault="00A3278D" w:rsidP="00A3278D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629D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</w:p>
    <w:p w:rsidR="00A3278D" w:rsidRPr="00B3629D" w:rsidRDefault="00A3278D" w:rsidP="00A3278D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3629D">
        <w:rPr>
          <w:rFonts w:ascii="Times New Roman" w:hAnsi="Times New Roman" w:cs="Times New Roman"/>
          <w:bCs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A3278D" w:rsidRPr="00B3629D" w:rsidRDefault="00A3278D" w:rsidP="00A3278D">
      <w:pPr>
        <w:pStyle w:val="ConsPlusNormal"/>
        <w:keepNext/>
        <w:keepLines/>
        <w:widowControl/>
        <w:ind w:left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278D" w:rsidRPr="00357206" w:rsidRDefault="00A3278D" w:rsidP="00A3278D">
      <w:pPr>
        <w:pStyle w:val="ConsPlusNormal"/>
        <w:keepNext/>
        <w:keepLines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57206">
        <w:rPr>
          <w:rFonts w:ascii="Times New Roman" w:hAnsi="Times New Roman" w:cs="Times New Roman"/>
          <w:sz w:val="24"/>
          <w:szCs w:val="24"/>
        </w:rPr>
        <w:t>ПАСПОРТ</w:t>
      </w:r>
    </w:p>
    <w:p w:rsidR="00A3278D" w:rsidRPr="00357206" w:rsidRDefault="00A3278D" w:rsidP="00A3278D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57206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7206">
        <w:rPr>
          <w:rFonts w:ascii="Times New Roman" w:hAnsi="Times New Roman" w:cs="Times New Roman"/>
          <w:sz w:val="24"/>
          <w:szCs w:val="24"/>
        </w:rPr>
        <w:t>Развитие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3278D" w:rsidRPr="00357206" w:rsidRDefault="00A3278D" w:rsidP="00A3278D">
      <w:pPr>
        <w:pStyle w:val="ConsPlusNonformat"/>
        <w:keepNext/>
        <w:keepLines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7206">
        <w:rPr>
          <w:rFonts w:ascii="Times New Roman" w:hAnsi="Times New Roman" w:cs="Times New Roman"/>
          <w:bCs/>
          <w:sz w:val="24"/>
          <w:szCs w:val="24"/>
        </w:rPr>
        <w:t>(далее – Программа)</w:t>
      </w:r>
    </w:p>
    <w:p w:rsidR="00A3278D" w:rsidRPr="00DD1412" w:rsidRDefault="00A3278D" w:rsidP="00A3278D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7513"/>
      </w:tblGrid>
      <w:tr w:rsidR="00A3278D" w:rsidRPr="00E77E7B" w:rsidTr="009657B8">
        <w:tc>
          <w:tcPr>
            <w:tcW w:w="1985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округа «Усинск» Республики Коми</w:t>
            </w:r>
          </w:p>
        </w:tc>
      </w:tr>
      <w:tr w:rsidR="00A3278D" w:rsidRPr="00E77E7B" w:rsidTr="009657B8">
        <w:tc>
          <w:tcPr>
            <w:tcW w:w="1985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A3278D" w:rsidRPr="00E77E7B" w:rsidRDefault="00A3278D" w:rsidP="009657B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77E7B">
              <w:rPr>
                <w:sz w:val="24"/>
                <w:szCs w:val="24"/>
              </w:rPr>
              <w:t>Управление физической культуры и спорта администрации муниципального округа «Усинск» Республики Коми;</w:t>
            </w:r>
          </w:p>
          <w:p w:rsidR="00A3278D" w:rsidRPr="00E77E7B" w:rsidRDefault="00A3278D" w:rsidP="009657B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77E7B">
              <w:rPr>
                <w:sz w:val="24"/>
                <w:szCs w:val="24"/>
              </w:rPr>
              <w:t>Управление культуры и национальной политики администрации муниципального округа «Усинск» Республики Коми;</w:t>
            </w:r>
          </w:p>
          <w:p w:rsidR="00A3278D" w:rsidRPr="00E77E7B" w:rsidRDefault="00A3278D" w:rsidP="009657B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77E7B">
              <w:rPr>
                <w:sz w:val="24"/>
                <w:szCs w:val="24"/>
              </w:rPr>
              <w:t>Военный комиссариат города Усинска и Усинского района Республики Коми;</w:t>
            </w:r>
          </w:p>
          <w:p w:rsidR="00A3278D" w:rsidRPr="00E77E7B" w:rsidRDefault="00A3278D" w:rsidP="009657B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77E7B">
              <w:rPr>
                <w:sz w:val="24"/>
                <w:szCs w:val="24"/>
              </w:rPr>
              <w:t>Общественная организация «Союз ветеранов Афганистана, Чечни и локальных войн»;</w:t>
            </w:r>
          </w:p>
          <w:p w:rsidR="00A3278D" w:rsidRPr="00E77E7B" w:rsidRDefault="00A3278D" w:rsidP="009657B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77E7B">
              <w:rPr>
                <w:sz w:val="24"/>
                <w:szCs w:val="24"/>
              </w:rPr>
              <w:t>Государственное бюджетное учреждение здравоохранения Республики Коми «Усинская центральная районная больница»;</w:t>
            </w:r>
          </w:p>
          <w:p w:rsidR="00A3278D" w:rsidRPr="00E77E7B" w:rsidRDefault="00A3278D" w:rsidP="009657B8">
            <w:pPr>
              <w:pStyle w:val="ConsPlusCel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муниципального округа «Усинск» Республики Коми;</w:t>
            </w:r>
          </w:p>
          <w:p w:rsidR="00A3278D" w:rsidRPr="00E77E7B" w:rsidRDefault="00A3278D" w:rsidP="009657B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77E7B">
              <w:rPr>
                <w:sz w:val="24"/>
                <w:szCs w:val="24"/>
              </w:rPr>
              <w:t>Государственное бюджетное учреждение Республики Коми «Комплексный центр социальной защиты населения города Усинска»;</w:t>
            </w:r>
          </w:p>
          <w:p w:rsidR="00A3278D" w:rsidRPr="00E77E7B" w:rsidRDefault="00A3278D" w:rsidP="009657B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77E7B">
              <w:rPr>
                <w:sz w:val="24"/>
                <w:szCs w:val="24"/>
              </w:rPr>
              <w:t>Отдел опеки и попечительства администрации муниципального округа «Усинск» Республики Коми;</w:t>
            </w:r>
          </w:p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и социальной защиты населения администрации муниципального округа «Усинск» Республики Коми.</w:t>
            </w:r>
          </w:p>
        </w:tc>
      </w:tr>
      <w:tr w:rsidR="00A3278D" w:rsidRPr="00E77E7B" w:rsidTr="009657B8">
        <w:tc>
          <w:tcPr>
            <w:tcW w:w="1985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513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Муниципальные дошкольные образовательные организации, муниципальные общеобразовательные организации, МАУ ДО «ЦДОД» г</w:t>
            </w:r>
            <w:proofErr w:type="gramStart"/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синска, МБУ «Молодежный центр», участвующие в реализации мероприятий муниципальной программы.</w:t>
            </w:r>
          </w:p>
        </w:tc>
      </w:tr>
      <w:tr w:rsidR="00A3278D" w:rsidRPr="00E77E7B" w:rsidTr="009657B8">
        <w:tc>
          <w:tcPr>
            <w:tcW w:w="1985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513" w:type="dxa"/>
          </w:tcPr>
          <w:p w:rsidR="00A3278D" w:rsidRPr="00E77E7B" w:rsidRDefault="00A3278D" w:rsidP="009657B8">
            <w:pPr>
              <w:keepNext/>
              <w:keepLines/>
              <w:tabs>
                <w:tab w:val="left" w:pos="80"/>
              </w:tabs>
              <w:jc w:val="both"/>
              <w:rPr>
                <w:sz w:val="24"/>
                <w:szCs w:val="24"/>
              </w:rPr>
            </w:pPr>
            <w:r w:rsidRPr="00E77E7B">
              <w:rPr>
                <w:sz w:val="24"/>
                <w:szCs w:val="24"/>
              </w:rPr>
              <w:t>1. Развитие дошкольного, общего и дополнительного образования детей.</w:t>
            </w:r>
          </w:p>
          <w:p w:rsidR="00A3278D" w:rsidRPr="00E77E7B" w:rsidRDefault="00A3278D" w:rsidP="009657B8">
            <w:pPr>
              <w:pStyle w:val="ConsPlusCell"/>
              <w:keepNext/>
              <w:keepLines/>
              <w:widowControl/>
              <w:tabs>
                <w:tab w:val="left" w:pos="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 xml:space="preserve">2. Отдых детей и трудоустройство подростков. </w:t>
            </w:r>
          </w:p>
          <w:p w:rsidR="00A3278D" w:rsidRPr="00E77E7B" w:rsidRDefault="00A3278D" w:rsidP="009657B8">
            <w:pPr>
              <w:pStyle w:val="ConsPlusCell"/>
              <w:keepNext/>
              <w:keepLines/>
              <w:widowControl/>
              <w:tabs>
                <w:tab w:val="left" w:pos="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3. Дети и молодежь.</w:t>
            </w:r>
          </w:p>
          <w:p w:rsidR="00A3278D" w:rsidRPr="00E77E7B" w:rsidRDefault="00A3278D" w:rsidP="009657B8">
            <w:pPr>
              <w:keepNext/>
              <w:keepLines/>
              <w:tabs>
                <w:tab w:val="left" w:pos="80"/>
              </w:tabs>
              <w:jc w:val="both"/>
              <w:rPr>
                <w:sz w:val="24"/>
                <w:szCs w:val="24"/>
              </w:rPr>
            </w:pPr>
            <w:r w:rsidRPr="00E77E7B">
              <w:rPr>
                <w:sz w:val="24"/>
                <w:szCs w:val="24"/>
              </w:rPr>
              <w:t xml:space="preserve">4. Обеспечение реализации муниципальной программы. </w:t>
            </w:r>
          </w:p>
        </w:tc>
      </w:tr>
      <w:tr w:rsidR="00A3278D" w:rsidRPr="00E77E7B" w:rsidTr="009657B8">
        <w:tc>
          <w:tcPr>
            <w:tcW w:w="1985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278D" w:rsidRPr="00E77E7B" w:rsidTr="009657B8">
        <w:tc>
          <w:tcPr>
            <w:tcW w:w="1985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13" w:type="dxa"/>
          </w:tcPr>
          <w:p w:rsidR="00A3278D" w:rsidRPr="00E77E7B" w:rsidRDefault="00A3278D" w:rsidP="009657B8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E77E7B">
              <w:rPr>
                <w:sz w:val="24"/>
                <w:szCs w:val="24"/>
              </w:rPr>
              <w:t>Обеспечение доступности качественного образования, соответствующего требованиям инновационного развития экономики и современным потребностям общества.</w:t>
            </w:r>
          </w:p>
        </w:tc>
      </w:tr>
      <w:tr w:rsidR="00A3278D" w:rsidRPr="00E77E7B" w:rsidTr="009657B8">
        <w:trPr>
          <w:trHeight w:val="2026"/>
        </w:trPr>
        <w:tc>
          <w:tcPr>
            <w:tcW w:w="1985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513" w:type="dxa"/>
          </w:tcPr>
          <w:p w:rsidR="00A3278D" w:rsidRPr="00E77E7B" w:rsidRDefault="00A3278D" w:rsidP="009657B8">
            <w:pPr>
              <w:pStyle w:val="a4"/>
              <w:keepNext/>
              <w:keepLines/>
              <w:ind w:left="0"/>
              <w:jc w:val="both"/>
              <w:rPr>
                <w:sz w:val="24"/>
                <w:szCs w:val="24"/>
              </w:rPr>
            </w:pPr>
            <w:r w:rsidRPr="00E77E7B">
              <w:rPr>
                <w:sz w:val="24"/>
                <w:szCs w:val="24"/>
              </w:rPr>
              <w:t>1. Повышение доступности и качества реализации образовательных программ дошкольного, общего и дополнительного образования, эффективности работы системы образования.</w:t>
            </w:r>
          </w:p>
          <w:p w:rsidR="00A3278D" w:rsidRPr="00E77E7B" w:rsidRDefault="00A3278D" w:rsidP="009657B8">
            <w:pPr>
              <w:pStyle w:val="ConsPlusNormal"/>
              <w:keepNext/>
              <w:keepLines/>
              <w:widowControl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2. Организация отдыха детей и подростков в каникулярное время.</w:t>
            </w:r>
          </w:p>
          <w:p w:rsidR="00A3278D" w:rsidRPr="00E77E7B" w:rsidRDefault="00A3278D" w:rsidP="009657B8">
            <w:pPr>
              <w:pStyle w:val="ConsPlusNormal"/>
              <w:keepNext/>
              <w:keepLines/>
              <w:widowControl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всестороннего развития детей и самореализации молодежи, их творческих способностей.</w:t>
            </w:r>
          </w:p>
          <w:p w:rsidR="00A3278D" w:rsidRPr="00E77E7B" w:rsidRDefault="00A3278D" w:rsidP="009657B8">
            <w:pPr>
              <w:pStyle w:val="ConsPlusNormal"/>
              <w:keepNext/>
              <w:keepLines/>
              <w:widowControl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4. Обеспечение реализации подпрограмм, основных мероприятий программы в соответствии с установленными сроками и задачами.</w:t>
            </w:r>
          </w:p>
        </w:tc>
      </w:tr>
      <w:tr w:rsidR="00A3278D" w:rsidRPr="00E77E7B" w:rsidTr="009657B8">
        <w:tc>
          <w:tcPr>
            <w:tcW w:w="1985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13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муниципальной программы являются:</w:t>
            </w:r>
          </w:p>
          <w:p w:rsidR="00A3278D" w:rsidRPr="00E77E7B" w:rsidRDefault="00A3278D" w:rsidP="00A3278D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лет, получающих дошкольное образование и (или) содержание в муниципальных образовательных организациях в общей численности детей в возрасте 1-6 лет;</w:t>
            </w:r>
          </w:p>
          <w:p w:rsidR="00A3278D" w:rsidRPr="00E77E7B" w:rsidRDefault="00A3278D" w:rsidP="00A3278D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в том числе с привлечением некоммерческих организаций;</w:t>
            </w:r>
          </w:p>
          <w:p w:rsidR="00A3278D" w:rsidRPr="00E77E7B" w:rsidRDefault="00A3278D" w:rsidP="00A3278D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 обучающихся в образовательных организациях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цирковая</w:t>
            </w:r>
            <w:proofErr w:type="gramEnd"/>
            <w:r w:rsidRPr="00E77E7B">
              <w:rPr>
                <w:rFonts w:ascii="Times New Roman" w:hAnsi="Times New Roman" w:cs="Times New Roman"/>
                <w:sz w:val="24"/>
                <w:szCs w:val="24"/>
              </w:rPr>
              <w:t xml:space="preserve"> школа», «детская школа художественных ремесел»;</w:t>
            </w:r>
          </w:p>
          <w:p w:rsidR="00A3278D" w:rsidRPr="00E77E7B" w:rsidRDefault="00A3278D" w:rsidP="00A3278D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образовательных организаций;</w:t>
            </w:r>
          </w:p>
          <w:p w:rsidR="00A3278D" w:rsidRPr="00E77E7B" w:rsidRDefault="00A3278D" w:rsidP="00A3278D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Style w:val="FontStyle20"/>
                <w:lang w:eastAsia="en-US"/>
              </w:rPr>
              <w:t xml:space="preserve">уровень удовлетворенности населения </w:t>
            </w: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 от общего числа опрошенных родителей, дети которых посещают детские дошкольные организации;</w:t>
            </w:r>
          </w:p>
          <w:p w:rsidR="00A3278D" w:rsidRPr="00E77E7B" w:rsidRDefault="00A3278D" w:rsidP="00A3278D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Style w:val="FontStyle20"/>
              </w:rPr>
              <w:t xml:space="preserve">уровень удовлетворенности </w:t>
            </w: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населения качеством общего образования от общего числа опрошенных родителей, дети которых посещают общеобразовательные организации;</w:t>
            </w:r>
          </w:p>
          <w:p w:rsidR="00A3278D" w:rsidRPr="00E77E7B" w:rsidRDefault="00A3278D" w:rsidP="00A3278D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Style w:val="FontStyle20"/>
              </w:rPr>
              <w:t xml:space="preserve">уровень удовлетворенности </w:t>
            </w: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населения качеством дополнительного образования от общего числа опрошенных  родителей, дети которых посещают объединения дополнительного образования;</w:t>
            </w:r>
          </w:p>
          <w:p w:rsidR="00A3278D" w:rsidRPr="00E77E7B" w:rsidRDefault="00A3278D" w:rsidP="00A3278D">
            <w:pPr>
              <w:pStyle w:val="ConsPlusNormal"/>
              <w:keepNext/>
              <w:keepLines/>
              <w:widowControl/>
              <w:numPr>
                <w:ilvl w:val="0"/>
                <w:numId w:val="1"/>
              </w:numPr>
              <w:tabs>
                <w:tab w:val="left" w:pos="363"/>
              </w:tabs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доля молодежи, задействованной в мероприятиях по вовлечению в творческую деятельность, от общего числа молодежи в муниципальном округе «Усинск» Республики Коми.</w:t>
            </w:r>
          </w:p>
        </w:tc>
      </w:tr>
      <w:tr w:rsidR="00A3278D" w:rsidRPr="00E77E7B" w:rsidTr="009657B8">
        <w:tc>
          <w:tcPr>
            <w:tcW w:w="1985" w:type="dxa"/>
          </w:tcPr>
          <w:p w:rsidR="00A3278D" w:rsidRPr="00E77E7B" w:rsidRDefault="00A3278D" w:rsidP="009657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A3278D" w:rsidRPr="00E77E7B" w:rsidRDefault="00A3278D" w:rsidP="009657B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E7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3278D" w:rsidRPr="00E77E7B" w:rsidRDefault="00A3278D" w:rsidP="009657B8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78D" w:rsidRPr="0018559F" w:rsidTr="009657B8">
        <w:tc>
          <w:tcPr>
            <w:tcW w:w="1985" w:type="dxa"/>
          </w:tcPr>
          <w:p w:rsidR="00A3278D" w:rsidRPr="0018559F" w:rsidRDefault="00A3278D" w:rsidP="009657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проекты (проекты), реализуемые в </w:t>
            </w:r>
            <w:r w:rsidRPr="00185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программы</w:t>
            </w:r>
          </w:p>
        </w:tc>
        <w:tc>
          <w:tcPr>
            <w:tcW w:w="7513" w:type="dxa"/>
          </w:tcPr>
          <w:p w:rsidR="00A3278D" w:rsidRPr="0018559F" w:rsidRDefault="00A3278D" w:rsidP="009657B8">
            <w:pPr>
              <w:pStyle w:val="ConsPlusCel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«Современная школа» национального проекта «Образование».</w:t>
            </w:r>
          </w:p>
          <w:p w:rsidR="00A3278D" w:rsidRPr="0018559F" w:rsidRDefault="00A3278D" w:rsidP="009657B8">
            <w:pPr>
              <w:pStyle w:val="ConsPlusCel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«Успех каждого ребенка» национального проекта «Образование».</w:t>
            </w:r>
          </w:p>
          <w:p w:rsidR="00A3278D" w:rsidRPr="0018559F" w:rsidRDefault="00A3278D" w:rsidP="009657B8">
            <w:pPr>
              <w:pStyle w:val="ConsPlusCel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проект «Развитие системы поддержки молодежи («Молодежь России»)».</w:t>
            </w:r>
          </w:p>
          <w:p w:rsidR="00A3278D" w:rsidRPr="0018559F" w:rsidRDefault="00A3278D" w:rsidP="009657B8">
            <w:pPr>
              <w:pStyle w:val="ConsPlusCell"/>
              <w:keepNext/>
              <w:keepLines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проект «Патриотическое воспитание граждан Российской Федерации».</w:t>
            </w:r>
          </w:p>
        </w:tc>
      </w:tr>
      <w:tr w:rsidR="00A3278D" w:rsidRPr="0018559F" w:rsidTr="009657B8">
        <w:tc>
          <w:tcPr>
            <w:tcW w:w="9498" w:type="dxa"/>
            <w:gridSpan w:val="2"/>
          </w:tcPr>
          <w:tbl>
            <w:tblPr>
              <w:tblW w:w="9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90"/>
              <w:gridCol w:w="998"/>
              <w:gridCol w:w="855"/>
              <w:gridCol w:w="849"/>
              <w:gridCol w:w="849"/>
              <w:gridCol w:w="849"/>
              <w:gridCol w:w="849"/>
              <w:gridCol w:w="853"/>
              <w:gridCol w:w="849"/>
              <w:gridCol w:w="997"/>
            </w:tblGrid>
            <w:tr w:rsidR="00A3278D" w:rsidRPr="00D0003B" w:rsidTr="00A3278D">
              <w:tc>
                <w:tcPr>
                  <w:tcW w:w="789" w:type="pct"/>
                  <w:vAlign w:val="center"/>
                </w:tcPr>
                <w:p w:rsidR="00A3278D" w:rsidRPr="00D0003B" w:rsidRDefault="00A3278D" w:rsidP="009657B8">
                  <w:pPr>
                    <w:keepNext/>
                    <w:keepLines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lastRenderedPageBreak/>
                    <w:t>Объемы финансирования муниципальной программы</w:t>
                  </w:r>
                </w:p>
              </w:tc>
              <w:tc>
                <w:tcPr>
                  <w:tcW w:w="4211" w:type="pct"/>
                  <w:gridSpan w:val="9"/>
                </w:tcPr>
                <w:p w:rsidR="00A3278D" w:rsidRPr="00D0003B" w:rsidRDefault="00A3278D" w:rsidP="00E839E0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 xml:space="preserve">Общий объем финансирования муниципальной программы составляет </w:t>
                  </w:r>
                  <w:r w:rsidR="00E839E0" w:rsidRPr="00D0003B">
                    <w:rPr>
                      <w:sz w:val="16"/>
                      <w:szCs w:val="16"/>
                    </w:rPr>
                    <w:t>15 958 047,5</w:t>
                  </w:r>
                  <w:r w:rsidRPr="00D0003B">
                    <w:rPr>
                      <w:sz w:val="16"/>
                      <w:szCs w:val="16"/>
                    </w:rPr>
                    <w:t xml:space="preserve">  тыс. рублей, в т.ч. по годам:</w:t>
                  </w:r>
                </w:p>
              </w:tc>
            </w:tr>
            <w:tr w:rsidR="00A3278D" w:rsidRPr="00D0003B" w:rsidTr="00A3278D">
              <w:tc>
                <w:tcPr>
                  <w:tcW w:w="789" w:type="pct"/>
                  <w:vAlign w:val="center"/>
                </w:tcPr>
                <w:p w:rsidR="00A3278D" w:rsidRPr="00D0003B" w:rsidRDefault="00A3278D" w:rsidP="009657B8">
                  <w:pPr>
                    <w:keepNext/>
                    <w:keepLines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По источникам финансирования</w:t>
                  </w:r>
                </w:p>
              </w:tc>
              <w:tc>
                <w:tcPr>
                  <w:tcW w:w="528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453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2020 г.</w:t>
                  </w:r>
                </w:p>
              </w:tc>
              <w:tc>
                <w:tcPr>
                  <w:tcW w:w="450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2021 г.</w:t>
                  </w:r>
                </w:p>
              </w:tc>
              <w:tc>
                <w:tcPr>
                  <w:tcW w:w="450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2022 г.</w:t>
                  </w:r>
                </w:p>
              </w:tc>
              <w:tc>
                <w:tcPr>
                  <w:tcW w:w="450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450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2024 г.</w:t>
                  </w:r>
                </w:p>
              </w:tc>
              <w:tc>
                <w:tcPr>
                  <w:tcW w:w="452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2025 г.</w:t>
                  </w:r>
                </w:p>
              </w:tc>
              <w:tc>
                <w:tcPr>
                  <w:tcW w:w="450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2026 г.</w:t>
                  </w:r>
                </w:p>
              </w:tc>
              <w:tc>
                <w:tcPr>
                  <w:tcW w:w="529" w:type="pct"/>
                </w:tcPr>
                <w:p w:rsidR="00A3278D" w:rsidRPr="00D0003B" w:rsidRDefault="00A3278D" w:rsidP="00A3278D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2027 г.</w:t>
                  </w:r>
                </w:p>
              </w:tc>
            </w:tr>
            <w:tr w:rsidR="00A3278D" w:rsidRPr="00D0003B" w:rsidTr="00A3278D">
              <w:tc>
                <w:tcPr>
                  <w:tcW w:w="789" w:type="pct"/>
                  <w:vAlign w:val="center"/>
                </w:tcPr>
                <w:p w:rsidR="00A3278D" w:rsidRPr="00D0003B" w:rsidRDefault="00A3278D" w:rsidP="009657B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D0003B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528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354 507,0</w:t>
                  </w:r>
                </w:p>
              </w:tc>
              <w:tc>
                <w:tcPr>
                  <w:tcW w:w="453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24 857,5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69 180,3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68 167,9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80 973,5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111 327,8</w:t>
                  </w:r>
                </w:p>
              </w:tc>
              <w:tc>
                <w:tcPr>
                  <w:tcW w:w="452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0,0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0,0</w:t>
                  </w:r>
                </w:p>
              </w:tc>
              <w:tc>
                <w:tcPr>
                  <w:tcW w:w="529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0,0</w:t>
                  </w:r>
                </w:p>
              </w:tc>
            </w:tr>
            <w:tr w:rsidR="00A3278D" w:rsidRPr="00D0003B" w:rsidTr="00A3278D">
              <w:tc>
                <w:tcPr>
                  <w:tcW w:w="789" w:type="pct"/>
                  <w:vAlign w:val="center"/>
                </w:tcPr>
                <w:p w:rsidR="00A3278D" w:rsidRPr="00D0003B" w:rsidRDefault="00A3278D" w:rsidP="009657B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D0003B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Республиканский бюджет Республики Коми</w:t>
                  </w:r>
                </w:p>
              </w:tc>
              <w:tc>
                <w:tcPr>
                  <w:tcW w:w="528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11 597 444,5</w:t>
                  </w:r>
                </w:p>
              </w:tc>
              <w:tc>
                <w:tcPr>
                  <w:tcW w:w="453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1 308 541,4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1 340 435,4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1 517 200,7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1 497 224,0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1 679 179,9</w:t>
                  </w:r>
                </w:p>
              </w:tc>
              <w:tc>
                <w:tcPr>
                  <w:tcW w:w="452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1 418 287,7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1 418 287,7</w:t>
                  </w:r>
                </w:p>
              </w:tc>
              <w:tc>
                <w:tcPr>
                  <w:tcW w:w="529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1 418 287,7</w:t>
                  </w:r>
                </w:p>
              </w:tc>
            </w:tr>
            <w:tr w:rsidR="00A3278D" w:rsidRPr="00D0003B" w:rsidTr="00A3278D">
              <w:tc>
                <w:tcPr>
                  <w:tcW w:w="789" w:type="pct"/>
                  <w:vAlign w:val="center"/>
                </w:tcPr>
                <w:p w:rsidR="00A3278D" w:rsidRPr="00D0003B" w:rsidRDefault="00A3278D" w:rsidP="009657B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528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3 026 696,2</w:t>
                  </w:r>
                </w:p>
              </w:tc>
              <w:tc>
                <w:tcPr>
                  <w:tcW w:w="453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355 119,4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365 146,7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403 942,7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404 011,7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421 634,1</w:t>
                  </w:r>
                </w:p>
              </w:tc>
              <w:tc>
                <w:tcPr>
                  <w:tcW w:w="452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337 484,9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365 634,2</w:t>
                  </w:r>
                </w:p>
              </w:tc>
              <w:tc>
                <w:tcPr>
                  <w:tcW w:w="529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373 722,5</w:t>
                  </w:r>
                </w:p>
              </w:tc>
            </w:tr>
            <w:tr w:rsidR="00A3278D" w:rsidRPr="00D0003B" w:rsidTr="00A3278D">
              <w:tc>
                <w:tcPr>
                  <w:tcW w:w="789" w:type="pct"/>
                  <w:vAlign w:val="center"/>
                </w:tcPr>
                <w:p w:rsidR="00A3278D" w:rsidRPr="00D0003B" w:rsidRDefault="00A3278D" w:rsidP="009657B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528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979 399,8</w:t>
                  </w:r>
                </w:p>
              </w:tc>
              <w:tc>
                <w:tcPr>
                  <w:tcW w:w="453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138 365,7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134 859,5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112 787,1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116 485,6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118 611,5</w:t>
                  </w:r>
                </w:p>
              </w:tc>
              <w:tc>
                <w:tcPr>
                  <w:tcW w:w="452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119 814,2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119 238,1</w:t>
                  </w:r>
                </w:p>
              </w:tc>
              <w:tc>
                <w:tcPr>
                  <w:tcW w:w="529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119 238,1</w:t>
                  </w:r>
                </w:p>
              </w:tc>
            </w:tr>
            <w:tr w:rsidR="00A3278D" w:rsidRPr="00A3278D" w:rsidTr="00A3278D">
              <w:trPr>
                <w:trHeight w:val="70"/>
              </w:trPr>
              <w:tc>
                <w:tcPr>
                  <w:tcW w:w="789" w:type="pct"/>
                  <w:vAlign w:val="center"/>
                </w:tcPr>
                <w:p w:rsidR="00A3278D" w:rsidRPr="00D0003B" w:rsidRDefault="00A3278D" w:rsidP="009657B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28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15 958 047,5</w:t>
                  </w:r>
                </w:p>
              </w:tc>
              <w:tc>
                <w:tcPr>
                  <w:tcW w:w="453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1 826 884,0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1 909 621,9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2 102 098,4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rFonts w:eastAsia="Calibri"/>
                      <w:sz w:val="13"/>
                      <w:szCs w:val="13"/>
                    </w:rPr>
                  </w:pPr>
                  <w:r w:rsidRPr="00D0003B">
                    <w:rPr>
                      <w:rFonts w:eastAsia="Calibri"/>
                      <w:sz w:val="13"/>
                      <w:szCs w:val="13"/>
                    </w:rPr>
                    <w:t>2 098 694,8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A3278D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2 330 753,3</w:t>
                  </w:r>
                </w:p>
              </w:tc>
              <w:tc>
                <w:tcPr>
                  <w:tcW w:w="452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1 875 586,8</w:t>
                  </w:r>
                </w:p>
              </w:tc>
              <w:tc>
                <w:tcPr>
                  <w:tcW w:w="450" w:type="pct"/>
                  <w:vAlign w:val="center"/>
                </w:tcPr>
                <w:p w:rsidR="00A3278D" w:rsidRPr="00D0003B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1 903 160,0</w:t>
                  </w:r>
                </w:p>
              </w:tc>
              <w:tc>
                <w:tcPr>
                  <w:tcW w:w="529" w:type="pct"/>
                  <w:vAlign w:val="center"/>
                </w:tcPr>
                <w:p w:rsidR="00A3278D" w:rsidRPr="00A3278D" w:rsidRDefault="00E839E0" w:rsidP="009657B8">
                  <w:pPr>
                    <w:jc w:val="right"/>
                    <w:rPr>
                      <w:sz w:val="13"/>
                      <w:szCs w:val="13"/>
                    </w:rPr>
                  </w:pPr>
                  <w:r w:rsidRPr="00D0003B">
                    <w:rPr>
                      <w:sz w:val="13"/>
                      <w:szCs w:val="13"/>
                    </w:rPr>
                    <w:t>1 911 248,3</w:t>
                  </w:r>
                </w:p>
              </w:tc>
            </w:tr>
          </w:tbl>
          <w:p w:rsidR="00A3278D" w:rsidRPr="0018559F" w:rsidRDefault="00A3278D" w:rsidP="009657B8">
            <w:pPr>
              <w:keepNext/>
              <w:keepLines/>
              <w:tabs>
                <w:tab w:val="left" w:pos="-59"/>
                <w:tab w:val="left" w:pos="0"/>
                <w:tab w:val="left" w:pos="5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3278D" w:rsidRPr="0018559F" w:rsidTr="009657B8">
        <w:tc>
          <w:tcPr>
            <w:tcW w:w="9498" w:type="dxa"/>
            <w:gridSpan w:val="2"/>
          </w:tcPr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18"/>
              <w:gridCol w:w="988"/>
              <w:gridCol w:w="852"/>
              <w:gridCol w:w="852"/>
              <w:gridCol w:w="993"/>
              <w:gridCol w:w="993"/>
              <w:gridCol w:w="993"/>
              <w:gridCol w:w="991"/>
              <w:gridCol w:w="990"/>
            </w:tblGrid>
            <w:tr w:rsidR="00A3278D" w:rsidRPr="0018559F" w:rsidTr="009657B8">
              <w:tc>
                <w:tcPr>
                  <w:tcW w:w="1002" w:type="pct"/>
                  <w:vAlign w:val="center"/>
                </w:tcPr>
                <w:p w:rsidR="00A3278D" w:rsidRPr="0018559F" w:rsidRDefault="00A3278D" w:rsidP="009657B8">
                  <w:pPr>
                    <w:keepNext/>
                    <w:keepLines/>
                    <w:rPr>
                      <w:rFonts w:eastAsia="Calibri"/>
                    </w:rPr>
                  </w:pPr>
                  <w:r w:rsidRPr="0018559F">
                    <w:t>Объемы финансирования региональных проектов (проектов), реализуемых в рамках муниципальной программы</w:t>
                  </w:r>
                </w:p>
              </w:tc>
              <w:tc>
                <w:tcPr>
                  <w:tcW w:w="3998" w:type="pct"/>
                  <w:gridSpan w:val="8"/>
                </w:tcPr>
                <w:p w:rsidR="00A3278D" w:rsidRPr="0018559F" w:rsidRDefault="00A3278D" w:rsidP="00D0003B">
                  <w:pPr>
                    <w:pStyle w:val="a3"/>
                    <w:keepNext/>
                    <w:keepLines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8559F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Общий объем финансирования региональных проектов (проектов), реализуемых в рамках муниципальной программы </w:t>
                  </w:r>
                  <w:r w:rsidRPr="00D64009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составляет </w:t>
                  </w:r>
                  <w:r w:rsidR="00D0003B" w:rsidRPr="00D64009">
                    <w:rPr>
                      <w:rFonts w:ascii="Times New Roman" w:hAnsi="Times New Roman"/>
                      <w:sz w:val="20"/>
                      <w:szCs w:val="20"/>
                    </w:rPr>
                    <w:t>19 001,8</w:t>
                  </w:r>
                  <w:r w:rsidRPr="00D64009">
                    <w:rPr>
                      <w:rFonts w:ascii="Times New Roman" w:hAnsi="Times New Roman"/>
                      <w:sz w:val="20"/>
                      <w:szCs w:val="20"/>
                    </w:rPr>
                    <w:t xml:space="preserve"> тыс</w:t>
                  </w:r>
                  <w:r w:rsidRPr="0018559F">
                    <w:rPr>
                      <w:rFonts w:ascii="Times New Roman" w:hAnsi="Times New Roman"/>
                      <w:sz w:val="20"/>
                      <w:szCs w:val="20"/>
                    </w:rPr>
                    <w:t>. рублей, в т.ч. по годам:</w:t>
                  </w:r>
                </w:p>
              </w:tc>
            </w:tr>
            <w:tr w:rsidR="00A3278D" w:rsidRPr="0018559F" w:rsidTr="009657B8">
              <w:tc>
                <w:tcPr>
                  <w:tcW w:w="1002" w:type="pct"/>
                  <w:vAlign w:val="center"/>
                </w:tcPr>
                <w:p w:rsidR="00A3278D" w:rsidRPr="00D0003B" w:rsidRDefault="00A3278D" w:rsidP="009657B8">
                  <w:pPr>
                    <w:keepNext/>
                    <w:keepLines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По источникам финансирования</w:t>
                  </w:r>
                </w:p>
              </w:tc>
              <w:tc>
                <w:tcPr>
                  <w:tcW w:w="516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445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2020 г.</w:t>
                  </w:r>
                </w:p>
              </w:tc>
              <w:tc>
                <w:tcPr>
                  <w:tcW w:w="445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2021 г.</w:t>
                  </w:r>
                </w:p>
              </w:tc>
              <w:tc>
                <w:tcPr>
                  <w:tcW w:w="519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2022 г.</w:t>
                  </w:r>
                </w:p>
              </w:tc>
              <w:tc>
                <w:tcPr>
                  <w:tcW w:w="519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2023 г.</w:t>
                  </w:r>
                </w:p>
              </w:tc>
              <w:tc>
                <w:tcPr>
                  <w:tcW w:w="519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2024 г.</w:t>
                  </w:r>
                </w:p>
              </w:tc>
              <w:tc>
                <w:tcPr>
                  <w:tcW w:w="518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2025 г.</w:t>
                  </w:r>
                </w:p>
              </w:tc>
              <w:tc>
                <w:tcPr>
                  <w:tcW w:w="517" w:type="pct"/>
                </w:tcPr>
                <w:p w:rsidR="00A3278D" w:rsidRPr="00D0003B" w:rsidRDefault="00A3278D" w:rsidP="009657B8">
                  <w:pPr>
                    <w:pStyle w:val="a3"/>
                    <w:keepNext/>
                    <w:keepLines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0003B">
                    <w:rPr>
                      <w:rFonts w:ascii="Times New Roman" w:hAnsi="Times New Roman"/>
                      <w:sz w:val="16"/>
                      <w:szCs w:val="16"/>
                    </w:rPr>
                    <w:t>2026 г.</w:t>
                  </w:r>
                </w:p>
              </w:tc>
            </w:tr>
            <w:tr w:rsidR="00A3278D" w:rsidRPr="0018559F" w:rsidTr="009657B8">
              <w:tc>
                <w:tcPr>
                  <w:tcW w:w="1002" w:type="pct"/>
                  <w:vAlign w:val="center"/>
                </w:tcPr>
                <w:p w:rsidR="00A3278D" w:rsidRPr="00D0003B" w:rsidRDefault="00A3278D" w:rsidP="009657B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D0003B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516" w:type="pct"/>
                  <w:vAlign w:val="center"/>
                </w:tcPr>
                <w:p w:rsidR="00A3278D" w:rsidRPr="00D0003B" w:rsidRDefault="00D0003B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17 408,9</w:t>
                  </w:r>
                </w:p>
              </w:tc>
              <w:tc>
                <w:tcPr>
                  <w:tcW w:w="445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445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586,6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10 818,6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6 003,7</w:t>
                  </w:r>
                </w:p>
              </w:tc>
              <w:tc>
                <w:tcPr>
                  <w:tcW w:w="518" w:type="pct"/>
                  <w:vAlign w:val="center"/>
                </w:tcPr>
                <w:p w:rsidR="00A3278D" w:rsidRPr="00D0003B" w:rsidRDefault="00D0003B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7" w:type="pct"/>
                  <w:vAlign w:val="center"/>
                </w:tcPr>
                <w:p w:rsidR="00A3278D" w:rsidRPr="00D0003B" w:rsidRDefault="00D0003B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A3278D" w:rsidRPr="0018559F" w:rsidTr="009657B8">
              <w:tc>
                <w:tcPr>
                  <w:tcW w:w="1002" w:type="pct"/>
                  <w:vAlign w:val="center"/>
                </w:tcPr>
                <w:p w:rsidR="00A3278D" w:rsidRPr="00D0003B" w:rsidRDefault="00A3278D" w:rsidP="009657B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D0003B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Республиканский бюджет Республики Коми</w:t>
                  </w:r>
                </w:p>
              </w:tc>
              <w:tc>
                <w:tcPr>
                  <w:tcW w:w="516" w:type="pct"/>
                  <w:vAlign w:val="center"/>
                </w:tcPr>
                <w:p w:rsidR="00A3278D" w:rsidRPr="00D0003B" w:rsidRDefault="00D0003B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916,3</w:t>
                  </w:r>
                </w:p>
              </w:tc>
              <w:tc>
                <w:tcPr>
                  <w:tcW w:w="445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445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30,9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569,4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316,0</w:t>
                  </w:r>
                </w:p>
              </w:tc>
              <w:tc>
                <w:tcPr>
                  <w:tcW w:w="518" w:type="pct"/>
                  <w:vAlign w:val="center"/>
                </w:tcPr>
                <w:p w:rsidR="00A3278D" w:rsidRPr="00D0003B" w:rsidRDefault="00D0003B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7" w:type="pct"/>
                  <w:vAlign w:val="center"/>
                </w:tcPr>
                <w:p w:rsidR="00A3278D" w:rsidRPr="00D0003B" w:rsidRDefault="00D0003B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A3278D" w:rsidRPr="0018559F" w:rsidTr="009657B8">
              <w:tc>
                <w:tcPr>
                  <w:tcW w:w="1002" w:type="pct"/>
                  <w:vAlign w:val="center"/>
                </w:tcPr>
                <w:p w:rsidR="00A3278D" w:rsidRPr="00D0003B" w:rsidRDefault="00A3278D" w:rsidP="009657B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Местный бюджет</w:t>
                  </w:r>
                </w:p>
              </w:tc>
              <w:tc>
                <w:tcPr>
                  <w:tcW w:w="516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676,6</w:t>
                  </w:r>
                </w:p>
              </w:tc>
              <w:tc>
                <w:tcPr>
                  <w:tcW w:w="445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52,5</w:t>
                  </w:r>
                </w:p>
              </w:tc>
              <w:tc>
                <w:tcPr>
                  <w:tcW w:w="445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68,6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555,5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8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7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A3278D" w:rsidRPr="0018559F" w:rsidTr="009657B8">
              <w:tc>
                <w:tcPr>
                  <w:tcW w:w="1002" w:type="pct"/>
                  <w:vAlign w:val="center"/>
                </w:tcPr>
                <w:p w:rsidR="00A3278D" w:rsidRPr="00D0003B" w:rsidRDefault="00A3278D" w:rsidP="009657B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Внебюджетные источники</w:t>
                  </w:r>
                </w:p>
              </w:tc>
              <w:tc>
                <w:tcPr>
                  <w:tcW w:w="516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445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445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8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7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</w:tr>
            <w:tr w:rsidR="00A3278D" w:rsidRPr="0018559F" w:rsidTr="009657B8">
              <w:trPr>
                <w:trHeight w:val="70"/>
              </w:trPr>
              <w:tc>
                <w:tcPr>
                  <w:tcW w:w="1002" w:type="pct"/>
                  <w:vAlign w:val="center"/>
                </w:tcPr>
                <w:p w:rsidR="00A3278D" w:rsidRPr="00D0003B" w:rsidRDefault="00A3278D" w:rsidP="009657B8">
                  <w:pPr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16" w:type="pct"/>
                  <w:vAlign w:val="center"/>
                </w:tcPr>
                <w:p w:rsidR="00A3278D" w:rsidRPr="00D0003B" w:rsidRDefault="00D0003B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19 001,8</w:t>
                  </w:r>
                </w:p>
              </w:tc>
              <w:tc>
                <w:tcPr>
                  <w:tcW w:w="445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52,5</w:t>
                  </w:r>
                </w:p>
              </w:tc>
              <w:tc>
                <w:tcPr>
                  <w:tcW w:w="445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686,1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 w:rsidRPr="00D0003B">
                    <w:rPr>
                      <w:rFonts w:eastAsia="Calibri"/>
                      <w:sz w:val="16"/>
                      <w:szCs w:val="16"/>
                    </w:rPr>
                    <w:t>11 943,5</w:t>
                  </w:r>
                </w:p>
              </w:tc>
              <w:tc>
                <w:tcPr>
                  <w:tcW w:w="519" w:type="pct"/>
                  <w:vAlign w:val="center"/>
                </w:tcPr>
                <w:p w:rsidR="00A3278D" w:rsidRPr="00D0003B" w:rsidRDefault="00A3278D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6 319,7</w:t>
                  </w:r>
                </w:p>
              </w:tc>
              <w:tc>
                <w:tcPr>
                  <w:tcW w:w="518" w:type="pct"/>
                  <w:vAlign w:val="center"/>
                </w:tcPr>
                <w:p w:rsidR="00A3278D" w:rsidRPr="00D0003B" w:rsidRDefault="00D0003B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517" w:type="pct"/>
                  <w:vAlign w:val="center"/>
                </w:tcPr>
                <w:p w:rsidR="00A3278D" w:rsidRPr="00D0003B" w:rsidRDefault="00D0003B" w:rsidP="009657B8">
                  <w:pPr>
                    <w:jc w:val="center"/>
                    <w:rPr>
                      <w:sz w:val="16"/>
                      <w:szCs w:val="16"/>
                    </w:rPr>
                  </w:pPr>
                  <w:r w:rsidRPr="00D0003B">
                    <w:rPr>
                      <w:sz w:val="16"/>
                      <w:szCs w:val="16"/>
                    </w:rPr>
                    <w:t>0,0</w:t>
                  </w:r>
                </w:p>
              </w:tc>
            </w:tr>
          </w:tbl>
          <w:p w:rsidR="00A3278D" w:rsidRPr="0018559F" w:rsidRDefault="00A3278D" w:rsidP="009657B8">
            <w:pPr>
              <w:keepNext/>
              <w:keepLines/>
              <w:tabs>
                <w:tab w:val="left" w:pos="-59"/>
                <w:tab w:val="left" w:pos="0"/>
                <w:tab w:val="left" w:pos="50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3278D" w:rsidRPr="00956C86" w:rsidTr="009657B8">
        <w:tc>
          <w:tcPr>
            <w:tcW w:w="1985" w:type="dxa"/>
          </w:tcPr>
          <w:p w:rsidR="00A3278D" w:rsidRPr="0018559F" w:rsidRDefault="00A3278D" w:rsidP="009657B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513" w:type="dxa"/>
          </w:tcPr>
          <w:p w:rsidR="00A3278D" w:rsidRPr="0018559F" w:rsidRDefault="00A3278D" w:rsidP="009657B8">
            <w:pPr>
              <w:tabs>
                <w:tab w:val="left" w:pos="-59"/>
                <w:tab w:val="left" w:pos="0"/>
                <w:tab w:val="left" w:pos="5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559F">
              <w:rPr>
                <w:sz w:val="24"/>
                <w:szCs w:val="24"/>
              </w:rPr>
              <w:t>По итогам реализации муниципальной программы к 202</w:t>
            </w:r>
            <w:r w:rsidR="00D0003B">
              <w:rPr>
                <w:sz w:val="24"/>
                <w:szCs w:val="24"/>
              </w:rPr>
              <w:t>7</w:t>
            </w:r>
            <w:r w:rsidRPr="0018559F">
              <w:rPr>
                <w:sz w:val="24"/>
                <w:szCs w:val="24"/>
              </w:rPr>
              <w:t xml:space="preserve"> году будут достигнуты следующие результаты:</w:t>
            </w:r>
          </w:p>
          <w:p w:rsidR="00A3278D" w:rsidRPr="0018559F" w:rsidRDefault="00A3278D" w:rsidP="00965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59F">
              <w:rPr>
                <w:rFonts w:ascii="Times New Roman" w:hAnsi="Times New Roman" w:cs="Times New Roman"/>
                <w:sz w:val="24"/>
                <w:szCs w:val="24"/>
              </w:rPr>
              <w:t>1) дошкольным образование и (или) содержанием в муниципальных образовательных организациях охвачены более 86% детей в возрасте от 1 до 6 лет, при этом обеспеченность местами детей в возрасте от 1 года до 6 лет, состоявших на учете для зачисления в ДОО, составит 100 %;</w:t>
            </w:r>
            <w:proofErr w:type="gramEnd"/>
          </w:p>
          <w:p w:rsidR="00A3278D" w:rsidRPr="0018559F" w:rsidRDefault="00A3278D" w:rsidP="00965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t xml:space="preserve">2) оказано родителями (законными представителями) детей более </w:t>
            </w:r>
            <w:r w:rsidR="00D00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59F">
              <w:rPr>
                <w:rFonts w:ascii="Times New Roman" w:hAnsi="Times New Roman" w:cs="Times New Roman"/>
                <w:sz w:val="24"/>
                <w:szCs w:val="24"/>
              </w:rPr>
              <w:t>000 услуг психолого-педагогической, методической и консультативной помощи;</w:t>
            </w:r>
          </w:p>
          <w:p w:rsidR="00A3278D" w:rsidRPr="0018559F" w:rsidRDefault="00A3278D" w:rsidP="00965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t>3) увеличится охват детей дополнительным образованием до 80%;</w:t>
            </w:r>
          </w:p>
          <w:p w:rsidR="00A3278D" w:rsidRPr="0018559F" w:rsidRDefault="00A3278D" w:rsidP="00965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t>4) в 90% муниципальных общеобразовательных организаций созданы условия полностью соответствующие современным требованиям обучения:</w:t>
            </w:r>
          </w:p>
          <w:p w:rsidR="00A3278D" w:rsidRPr="0018559F" w:rsidRDefault="00A3278D" w:rsidP="00965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t>- создана современная и безопасная цифровая образовательная среда, обеспечивающая высокое качество и доступность образования всех видов и уровней;</w:t>
            </w:r>
          </w:p>
          <w:p w:rsidR="00A3278D" w:rsidRPr="0018559F" w:rsidRDefault="00A3278D" w:rsidP="00965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t>- внедрены и эффективно используются в муниципальной системе образования новые информационные сервисы, системы и технологии обучения, электронные образовательные ресурсы нового поколения;</w:t>
            </w:r>
          </w:p>
          <w:p w:rsidR="00A3278D" w:rsidRPr="0018559F" w:rsidRDefault="00A3278D" w:rsidP="00965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повысится уровень удовлетворенности населения качеством общего образования до 83%, дошкольного и дополнительного образования до 93,5%, в том числе благодаря качеству и содержанию процесса отдыха детей и занятости несовершеннолетних в каникулярное время;</w:t>
            </w:r>
          </w:p>
          <w:p w:rsidR="00A3278D" w:rsidRPr="00956C86" w:rsidRDefault="00A3278D" w:rsidP="009657B8">
            <w:pPr>
              <w:pStyle w:val="ConsPlusNormal"/>
              <w:keepNext/>
              <w:keepLines/>
              <w:widowControl/>
              <w:tabs>
                <w:tab w:val="left" w:pos="-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9F">
              <w:rPr>
                <w:rFonts w:ascii="Times New Roman" w:hAnsi="Times New Roman" w:cs="Times New Roman"/>
                <w:sz w:val="24"/>
                <w:szCs w:val="24"/>
              </w:rPr>
              <w:t>6) созданы условия для поддержки общественных инициатив и  творческих проектов молодежи, в том числе в сфере добровольчества (волонтерства), до 45% молодежи примут участие в мероприятиях по вовлечению в творческую деятельность</w:t>
            </w:r>
          </w:p>
        </w:tc>
      </w:tr>
    </w:tbl>
    <w:p w:rsidR="00A3278D" w:rsidRDefault="00A3278D" w:rsidP="00A3278D">
      <w:pPr>
        <w:pStyle w:val="ConsPlusNormal"/>
        <w:keepNext/>
        <w:keepLines/>
        <w:widowControl/>
        <w:tabs>
          <w:tab w:val="left" w:pos="1953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3278D" w:rsidSect="00CE6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4002"/>
    <w:multiLevelType w:val="hybridMultilevel"/>
    <w:tmpl w:val="A1D8836C"/>
    <w:lvl w:ilvl="0" w:tplc="57FA6C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306A60"/>
    <w:multiLevelType w:val="hybridMultilevel"/>
    <w:tmpl w:val="7CCAB6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0F82"/>
    <w:multiLevelType w:val="hybridMultilevel"/>
    <w:tmpl w:val="20EC8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E411EA"/>
    <w:multiLevelType w:val="hybridMultilevel"/>
    <w:tmpl w:val="05829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3278D"/>
    <w:rsid w:val="000C3CF6"/>
    <w:rsid w:val="003C76EC"/>
    <w:rsid w:val="0042661F"/>
    <w:rsid w:val="004A75F8"/>
    <w:rsid w:val="008B6ADB"/>
    <w:rsid w:val="009E205C"/>
    <w:rsid w:val="00A3278D"/>
    <w:rsid w:val="00A50727"/>
    <w:rsid w:val="00CE67DD"/>
    <w:rsid w:val="00D0003B"/>
    <w:rsid w:val="00D64009"/>
    <w:rsid w:val="00E8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A32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27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A3278D"/>
    <w:pPr>
      <w:ind w:left="720"/>
      <w:contextualSpacing/>
    </w:pPr>
  </w:style>
  <w:style w:type="paragraph" w:customStyle="1" w:styleId="ConsPlusCell">
    <w:name w:val="ConsPlusCell"/>
    <w:uiPriority w:val="99"/>
    <w:rsid w:val="00A32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0">
    <w:name w:val="Font Style20"/>
    <w:uiPriority w:val="99"/>
    <w:rsid w:val="00A3278D"/>
    <w:rPr>
      <w:rFonts w:ascii="Times New Roman" w:hAnsi="Times New Roman" w:cs="Times New Roman"/>
      <w:sz w:val="26"/>
      <w:szCs w:val="26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A327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3278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1162</Words>
  <Characters>6629</Characters>
  <Application>Microsoft Office Word</Application>
  <DocSecurity>0</DocSecurity>
  <Lines>55</Lines>
  <Paragraphs>15</Paragraphs>
  <ScaleCrop>false</ScaleCrop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Шпаковская</dc:creator>
  <cp:keywords/>
  <dc:description/>
  <cp:lastModifiedBy>Набиуллина</cp:lastModifiedBy>
  <cp:revision>6</cp:revision>
  <dcterms:created xsi:type="dcterms:W3CDTF">2024-11-05T12:44:00Z</dcterms:created>
  <dcterms:modified xsi:type="dcterms:W3CDTF">2024-11-06T14:09:00Z</dcterms:modified>
</cp:coreProperties>
</file>